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B" w:rsidRDefault="00EE7AA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pict>
          <v:rect id="_x0000_s1026" style="position:absolute;margin-left:-31.1pt;margin-top:-57.35pt;width:530.05pt;height:217.5pt;z-index:251659264;v-text-anchor:middle" o:gfxdata="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IMKlNsAAAAMAQAADwAAAAAA&#10;AAABACAAAAAiAAAAZHJzL2Rvd25yZXYueG1sUEsBAhQAFAAAAAgAh07iQNCgHRNJAgAAmgQAAA4A&#10;AAAAAAAAAQAgAAAAKgEAAGRycy9lMm9Eb2MueG1sUEsFBgAAAAAGAAYAWQEAAOUFAAAAAA==&#10;" filled="f" stroked="f" strokeweight="2pt">
            <v:textbox>
              <w:txbxContent>
                <w:p w:rsidR="00EE7AAB" w:rsidRDefault="00EE7AAB">
                  <w:pPr>
                    <w:tabs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EE7AAB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ar-DZ"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4.25pt;height:19.5pt" fillcolor="black" stroked="f">
                        <v:shadow on="t" color="#b2b2b2" opacity="52429f" offset="3pt"/>
                        <v:textpath style="font-family:&quot;Andalus&quot;;font-size:14pt" trim="t" fitpath="t" string="الجمهورية الجزائرية الديمقراطية الشعبية"/>
                      </v:shape>
                    </w:pict>
                  </w:r>
                </w:p>
                <w:p w:rsidR="00EE7AAB" w:rsidRDefault="00EE7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EE7AAB" w:rsidRDefault="00681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  <w:t xml:space="preserve">MINISTERE DE L’ENSEIGNEMENT SUPERIEUR </w:t>
                  </w:r>
                </w:p>
                <w:p w:rsidR="00EE7AAB" w:rsidRDefault="00681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  <w:t>ET DE LA RECHERCHE SCIENTIFIQUE</w:t>
                  </w:r>
                </w:p>
                <w:p w:rsidR="00EE7AAB" w:rsidRDefault="00681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  <w:t>UNIVERSITE IBN KHALDOUN –TIARET-</w:t>
                  </w:r>
                </w:p>
                <w:p w:rsidR="00EE7AAB" w:rsidRDefault="00681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fr-FR"/>
                    </w:rPr>
                    <w:t>Faculté des Sciences de la Nature et de la Vie</w:t>
                  </w:r>
                </w:p>
                <w:p w:rsidR="00EE7AAB" w:rsidRDefault="00681DD9" w:rsidP="007F48DE">
                  <w:pPr>
                    <w:spacing w:after="0" w:line="240" w:lineRule="auto"/>
                    <w:jc w:val="lowKashida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fr-FR"/>
                    </w:rPr>
                    <w:t xml:space="preserve">Département </w:t>
                  </w:r>
                  <w:r w:rsidR="007F48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fr-FR"/>
                    </w:rPr>
                    <w:t>de Biologie</w:t>
                  </w:r>
                </w:p>
                <w:p w:rsidR="00EE7AAB" w:rsidRDefault="00681DD9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Master2 : Toxicologie et Sécurité Alimentaire</w:t>
                  </w:r>
                </w:p>
                <w:p w:rsidR="00EE7AAB" w:rsidRDefault="00681DD9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Unité d’enseignement : Microbiologie et sécurité alimentaire </w:t>
                  </w:r>
                </w:p>
                <w:p w:rsidR="00EE7AAB" w:rsidRDefault="00EE7A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pict>
          <v:rect id="_x0000_s1027" style="position:absolute;margin-left:400.85pt;margin-top:-41.05pt;width:90.6pt;height:1in;z-index:251660288;v-text-anchor:middle" o:gfxdata="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jnSb2QAAAAoBAAAPAAAAAAAAAAEA&#10;IAAAACIAAABkcnMvZG93bnJldi54bWxQSwECFAAUAAAACACHTuJAKkAMbkcCAACZBAAADgAAAAAA&#10;AAABACAAAAAoAQAAZHJzL2Uyb0RvYy54bWxQSwUGAAAAAAYABgBZAQAA4QUAAAAA&#10;" filled="f" stroked="f" strokeweight="2pt">
            <v:textbox>
              <w:txbxContent>
                <w:p w:rsidR="00EE7AAB" w:rsidRDefault="00681DD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8525" cy="81978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336" cy="818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7AAB" w:rsidRDefault="00EE7AA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E7AAB" w:rsidRDefault="00EE7AA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E7AAB" w:rsidRDefault="00EE7AA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E7AAB" w:rsidRDefault="00EE7AA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E7AAB" w:rsidRDefault="00681DD9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 maladies d'origine alimentaire (également appelées empoisonnement ou intoxication alimentaire)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touchent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chaque année, 1 personne sur 10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et entrainent des pertes humaines et économiques énormes :</w:t>
      </w:r>
    </w:p>
    <w:p w:rsidR="00EE7AAB" w:rsidRDefault="00681DD9">
      <w:pPr>
        <w:pStyle w:val="Paragraphedelis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Quelles sont les types des maladies liées à l’alimentation de l’homme ? </w:t>
      </w:r>
      <w:r>
        <w:rPr>
          <w:rFonts w:asciiTheme="majorBidi" w:hAnsiTheme="majorBidi" w:cstheme="majorBidi"/>
          <w:color w:val="FF0000"/>
          <w:sz w:val="24"/>
          <w:szCs w:val="24"/>
          <w:u w:val="single"/>
        </w:rPr>
        <w:t>4 points</w:t>
      </w:r>
    </w:p>
    <w:p w:rsidR="00EE7AAB" w:rsidRDefault="00681DD9">
      <w:pPr>
        <w:pStyle w:val="Paragraphedeliste"/>
        <w:tabs>
          <w:tab w:val="left" w:pos="142"/>
          <w:tab w:val="left" w:pos="28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Maladies métaboliques: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pathologies liés au dysfonctionnement du métabolismes, ex: les différents types de diabète, hypercholestérolémie, hyperthyroïdie.</w:t>
      </w:r>
    </w:p>
    <w:p w:rsidR="00EE7AAB" w:rsidRDefault="00681DD9">
      <w:pPr>
        <w:pStyle w:val="Paragraphedeliste"/>
        <w:tabs>
          <w:tab w:val="left" w:pos="142"/>
          <w:tab w:val="left" w:pos="28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Maladies infectieuses: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pathologies liées à la consommation d’aliments contenant un agent infectieux, ex: intoxication alime</w:t>
      </w:r>
      <w:r>
        <w:rPr>
          <w:rFonts w:asciiTheme="majorBidi" w:hAnsiTheme="majorBidi" w:cstheme="majorBidi"/>
          <w:sz w:val="24"/>
          <w:szCs w:val="24"/>
          <w:u w:val="single"/>
        </w:rPr>
        <w:t>ntaire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u w:val="single"/>
        </w:rPr>
        <w:t xml:space="preserve">, toxi-infection alimentaire sporadique et collective, </w:t>
      </w:r>
    </w:p>
    <w:p w:rsidR="00EE7AAB" w:rsidRDefault="00EE7AAB">
      <w:pPr>
        <w:pStyle w:val="Paragraphedeliste"/>
        <w:tabs>
          <w:tab w:val="left" w:pos="142"/>
          <w:tab w:val="left" w:pos="284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E7AAB" w:rsidRDefault="00681DD9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Quels sont les facteurs contribuant à l’augmentation des maladies d’origine alimentaire ?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Chars="109" w:left="240" w:firstLineChars="50" w:firstLine="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 Niveau culturel et socio-économique;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Chars="109" w:left="240" w:firstLineChars="50" w:firstLine="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- Mode de vie et facteurs hygiéniques;                 </w:t>
      </w:r>
      <w:r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4 points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Chars="109" w:left="240" w:firstLineChars="50" w:firstLine="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 Facteurs technologiques liés au processus de production alimentaire et du transport;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Chars="109" w:left="240" w:firstLineChars="50" w:firstLine="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 La taille de la population et l’entretien de l’aliment.</w:t>
      </w:r>
    </w:p>
    <w:p w:rsidR="00EE7AAB" w:rsidRDefault="00EE7AAB">
      <w:pPr>
        <w:pStyle w:val="Paragraphedeliste"/>
        <w:tabs>
          <w:tab w:val="left" w:pos="1701"/>
        </w:tabs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E7AAB" w:rsidRDefault="00681DD9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Citer des exemples d’agents impliqués dans les maladies infectieuses d’origine alimentaire ;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3 points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>
        <w:rPr>
          <w:rFonts w:ascii="Times New Roman" w:hAnsi="Times New Roman" w:cs="Times New Roman"/>
          <w:b/>
          <w:bCs/>
          <w:sz w:val="24"/>
          <w:szCs w:val="24"/>
        </w:rPr>
        <w:t>actéries:</w:t>
      </w:r>
      <w:r>
        <w:rPr>
          <w:rFonts w:ascii="Times New Roman" w:eastAsia="Arial" w:hAnsi="Times New Roman" w:cs="Times New Roman"/>
          <w:i/>
          <w:iCs/>
          <w:sz w:val="24"/>
          <w:szCs w:val="24"/>
        </w:rPr>
        <w:t>Salmonella, Campylobacter et Escherichia coli entérohémorragique</w:t>
      </w:r>
      <w:r>
        <w:rPr>
          <w:rFonts w:ascii="Times New Roman" w:eastAsia="Arial" w:hAnsi="Times New Roman" w:cs="Times New Roman"/>
          <w:i/>
          <w:iCs/>
          <w:sz w:val="24"/>
          <w:szCs w:val="24"/>
        </w:rPr>
        <w:t>;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Virus: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norovirus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virus de l’hépatit A, B, C;</w:t>
      </w:r>
    </w:p>
    <w:p w:rsidR="00EE7AAB" w:rsidRDefault="00681DD9">
      <w:pPr>
        <w:pStyle w:val="Paragraphedeliste"/>
        <w:tabs>
          <w:tab w:val="left" w:pos="1701"/>
        </w:tabs>
        <w:spacing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 P</w:t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arasite: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trématodes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Giardia.</w:t>
      </w:r>
    </w:p>
    <w:p w:rsidR="00EE7AAB" w:rsidRDefault="00EE7AAB">
      <w:pPr>
        <w:pStyle w:val="Paragraphedeliste"/>
        <w:tabs>
          <w:tab w:val="left" w:pos="1701"/>
        </w:tabs>
        <w:spacing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EE7AAB" w:rsidRDefault="00681DD9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Pour une meilleure salubrité des aliments et la maitrise des risques sanitaires, des Outils et </w:t>
      </w:r>
      <w:r>
        <w:rPr>
          <w:rFonts w:asciiTheme="majorBidi" w:hAnsiTheme="majorBidi" w:cstheme="majorBidi"/>
          <w:b/>
          <w:bCs/>
          <w:sz w:val="24"/>
          <w:szCs w:val="24"/>
        </w:rPr>
        <w:t>méthodologies devraient être adoptés :</w:t>
      </w:r>
    </w:p>
    <w:p w:rsidR="00EE7AAB" w:rsidRDefault="00EE7AAB">
      <w:pPr>
        <w:pStyle w:val="Paragraphedeliste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E7AAB" w:rsidRDefault="00681DD9">
      <w:pPr>
        <w:pStyle w:val="Paragraphedeliste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Donnez trois exemples d’outil </w:t>
      </w:r>
      <w:r>
        <w:rPr>
          <w:rFonts w:asciiTheme="majorBidi" w:hAnsiTheme="majorBidi" w:cstheme="majorBidi"/>
          <w:sz w:val="24"/>
          <w:szCs w:val="24"/>
        </w:rPr>
        <w:t xml:space="preserve">et de méthodes </w:t>
      </w:r>
      <w:r>
        <w:rPr>
          <w:rFonts w:asciiTheme="majorBidi" w:hAnsiTheme="majorBidi" w:cstheme="majorBidi"/>
          <w:sz w:val="24"/>
          <w:szCs w:val="24"/>
        </w:rPr>
        <w:t>en expliquant leur principe et application;</w:t>
      </w:r>
    </w:p>
    <w:p w:rsidR="00EE7AAB" w:rsidRDefault="00EE7AAB">
      <w:pPr>
        <w:pStyle w:val="Paragraphedeliste"/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E7AAB" w:rsidRDefault="00EE7AAB">
      <w:pPr>
        <w:pStyle w:val="Paragraphedeliste"/>
        <w:spacing w:line="480" w:lineRule="auto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E7AAB" w:rsidRDefault="00681DD9">
      <w:pPr>
        <w:pStyle w:val="Paragraphedeliste"/>
        <w:numPr>
          <w:ilvl w:val="0"/>
          <w:numId w:val="3"/>
        </w:numPr>
        <w:spacing w:line="36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Exemples d’outils:   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4.5 points</w:t>
      </w:r>
    </w:p>
    <w:p w:rsidR="00EE7AAB" w:rsidRDefault="00681DD9">
      <w:pPr>
        <w:pStyle w:val="Paragraphedeliste"/>
        <w:numPr>
          <w:ilvl w:val="0"/>
          <w:numId w:val="4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Etablissement des manuelles qualités et les guides de bonnes pratiques d’hygiène, de laboratoire et de fabrication : </w:t>
      </w:r>
      <w:r>
        <w:rPr>
          <w:rFonts w:asciiTheme="majorBidi" w:hAnsiTheme="majorBidi" w:cstheme="majorBidi"/>
          <w:sz w:val="24"/>
          <w:szCs w:val="24"/>
        </w:rPr>
        <w:t xml:space="preserve">des rapports dont le </w:t>
      </w:r>
      <w:r>
        <w:rPr>
          <w:rFonts w:asciiTheme="majorBidi" w:hAnsiTheme="majorBidi" w:cstheme="majorBidi"/>
          <w:b/>
          <w:bCs/>
          <w:sz w:val="24"/>
          <w:szCs w:val="24"/>
        </w:rPr>
        <w:t>Principe </w:t>
      </w:r>
      <w:r>
        <w:rPr>
          <w:rFonts w:asciiTheme="majorBidi" w:hAnsiTheme="majorBidi" w:cstheme="majorBidi"/>
          <w:sz w:val="24"/>
          <w:szCs w:val="24"/>
        </w:rPr>
        <w:t>est d’englober les principaux règles et démarches relatives à l’assurance de la qualité dans un recueil de do</w:t>
      </w:r>
      <w:r>
        <w:rPr>
          <w:rFonts w:asciiTheme="majorBidi" w:hAnsiTheme="majorBidi" w:cstheme="majorBidi"/>
          <w:sz w:val="24"/>
          <w:szCs w:val="24"/>
        </w:rPr>
        <w:t xml:space="preserve">nnées  et le suivi de ces règles par les industriels, les audites internes et externes et les différents professionnels des secteurs concernés par la sécurité sanitaire des aliments. </w:t>
      </w:r>
      <w:r>
        <w:rPr>
          <w:rFonts w:asciiTheme="majorBidi" w:hAnsiTheme="majorBidi" w:cstheme="majorBidi"/>
          <w:b/>
          <w:bCs/>
          <w:sz w:val="24"/>
          <w:szCs w:val="24"/>
        </w:rPr>
        <w:t>Son importance</w:t>
      </w:r>
      <w:r>
        <w:rPr>
          <w:rFonts w:asciiTheme="majorBidi" w:hAnsiTheme="majorBidi" w:cstheme="majorBidi"/>
          <w:sz w:val="24"/>
          <w:szCs w:val="24"/>
        </w:rPr>
        <w:t> est la mise en place d’un système proportionné aux risques</w:t>
      </w:r>
      <w:r>
        <w:rPr>
          <w:rFonts w:asciiTheme="majorBidi" w:hAnsiTheme="majorBidi" w:cstheme="majorBidi"/>
          <w:sz w:val="24"/>
          <w:szCs w:val="24"/>
        </w:rPr>
        <w:t xml:space="preserve"> sanitaires encourus et l’amélioration de la responsabilité des professionnels dans leur démarche de maîtrise de risques.</w:t>
      </w:r>
    </w:p>
    <w:p w:rsidR="00EE7AAB" w:rsidRDefault="00681DD9">
      <w:pPr>
        <w:pStyle w:val="Paragraphedeliste"/>
        <w:numPr>
          <w:ilvl w:val="0"/>
          <w:numId w:val="4"/>
        </w:numPr>
        <w:spacing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Cercle de Mening:</w:t>
      </w:r>
      <w:r>
        <w:rPr>
          <w:rFonts w:asciiTheme="majorBidi" w:hAnsiTheme="majorBidi" w:cstheme="majorBidi"/>
          <w:sz w:val="24"/>
          <w:szCs w:val="24"/>
        </w:rPr>
        <w:t xml:space="preserve">système dont </w:t>
      </w:r>
      <w:r>
        <w:rPr>
          <w:rFonts w:asciiTheme="majorBidi" w:hAnsiTheme="majorBidi" w:cstheme="majorBidi"/>
          <w:b/>
          <w:bCs/>
          <w:sz w:val="24"/>
          <w:szCs w:val="24"/>
        </w:rPr>
        <w:t>le principe</w:t>
      </w:r>
      <w:r>
        <w:rPr>
          <w:rFonts w:asciiTheme="majorBidi" w:hAnsiTheme="majorBidi" w:cstheme="majorBidi"/>
          <w:sz w:val="24"/>
          <w:szCs w:val="24"/>
        </w:rPr>
        <w:t xml:space="preserve"> est reposé sur les 5M permettant la verification de l’origine de la contamination (matière p</w:t>
      </w:r>
      <w:r>
        <w:rPr>
          <w:rFonts w:asciiTheme="majorBidi" w:hAnsiTheme="majorBidi" w:cstheme="majorBidi"/>
          <w:sz w:val="24"/>
          <w:szCs w:val="24"/>
        </w:rPr>
        <w:t xml:space="preserve">remiere, milieu, méthode, materiel, main d’oeuvre). </w:t>
      </w:r>
      <w:r>
        <w:rPr>
          <w:rFonts w:asciiTheme="majorBidi" w:hAnsiTheme="majorBidi" w:cstheme="majorBidi"/>
          <w:b/>
          <w:bCs/>
          <w:sz w:val="24"/>
          <w:szCs w:val="24"/>
        </w:rPr>
        <w:t>Importance:</w:t>
      </w:r>
      <w:r>
        <w:rPr>
          <w:rFonts w:asciiTheme="majorBidi" w:hAnsiTheme="majorBidi" w:cstheme="majorBidi"/>
          <w:sz w:val="24"/>
          <w:szCs w:val="24"/>
        </w:rPr>
        <w:t xml:space="preserve"> son application permet de préciser l’origine de la contamination et donc l’élimination des unités alimentaires défectueuses.</w:t>
      </w:r>
    </w:p>
    <w:p w:rsidR="00EE7AAB" w:rsidRDefault="00681DD9">
      <w:pPr>
        <w:pStyle w:val="Paragraphedeliste"/>
        <w:numPr>
          <w:ilvl w:val="0"/>
          <w:numId w:val="5"/>
        </w:numPr>
        <w:tabs>
          <w:tab w:val="left" w:pos="284"/>
        </w:tabs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H.A.C.C.P. (Hazard Analysis Critical Control Point) :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système dont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 principe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est la définition, l’évaluation et la maîtrise des dangers significatifs au regard de la sécurité des aliments (système d'Analyse des Dangers et des Points Critiques pour leur maîtrise).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Importance :son application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est pour but : 1. Appréciatio</w:t>
      </w:r>
      <w:r>
        <w:rPr>
          <w:rFonts w:asciiTheme="majorBidi" w:hAnsiTheme="majorBidi" w:cstheme="majorBidi"/>
          <w:sz w:val="24"/>
          <w:szCs w:val="24"/>
          <w:u w:val="single"/>
        </w:rPr>
        <w:t>n de l'émission du danger ; elle se réfère à la quantité initiale du danger présente dans les produits ciblés, dans les matières premières et dans les produits finis tels qu'ils seront présentés au consommateur.2. Appréciation de l'exposition ; elle a pour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objectif de déterminer la quantité de danger absorbé par le consommateur, lors de l'ingestion de l'aliment ciblé.</w:t>
      </w:r>
    </w:p>
    <w:p w:rsidR="00EE7AAB" w:rsidRDefault="00EE7AAB">
      <w:pPr>
        <w:pStyle w:val="Paragraphedeliste"/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EE7AAB" w:rsidRDefault="00681DD9">
      <w:pPr>
        <w:pStyle w:val="Paragraphedeliste"/>
        <w:numPr>
          <w:ilvl w:val="0"/>
          <w:numId w:val="3"/>
        </w:numPr>
        <w:spacing w:line="48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Exemples de méthodes: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4.5 points</w:t>
      </w:r>
    </w:p>
    <w:p w:rsidR="00EE7AAB" w:rsidRDefault="00681DD9">
      <w:pPr>
        <w:pStyle w:val="Paragraphedeliste"/>
        <w:numPr>
          <w:ilvl w:val="0"/>
          <w:numId w:val="4"/>
        </w:numPr>
        <w:spacing w:line="360" w:lineRule="auto"/>
        <w:ind w:left="284" w:hanging="357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Sensibilisation à l’hygiène et la sécurité alimentaire 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: démarche dont le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principe 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l’organisation des rencontres et conférences planaires pour informer la population, les industriels et le personnel de différents établissement de l’importance de la salubrité et la qualité des denrées alimentaires.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Son Importance 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est la contribution à </w:t>
      </w:r>
      <w:r>
        <w:rPr>
          <w:rFonts w:asciiTheme="majorBidi" w:hAnsiTheme="majorBidi" w:cstheme="majorBidi"/>
          <w:sz w:val="24"/>
          <w:szCs w:val="24"/>
          <w:u w:val="single"/>
        </w:rPr>
        <w:t>la sécurité sanitaire des aliments et à la sécurité alimentaire, et sous-tend le développement durable.</w:t>
      </w:r>
    </w:p>
    <w:p w:rsidR="00EE7AAB" w:rsidRDefault="00681DD9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ontrôle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microbiologique des aliments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: </w:t>
      </w:r>
      <w:r>
        <w:rPr>
          <w:rFonts w:asciiTheme="majorBidi" w:hAnsiTheme="majorBidi" w:cstheme="majorBidi"/>
          <w:sz w:val="24"/>
          <w:szCs w:val="24"/>
          <w:u w:val="single"/>
        </w:rPr>
        <w:t>c’est une méthode simple dont le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principe </w:t>
      </w:r>
      <w:r>
        <w:rPr>
          <w:rFonts w:asciiTheme="majorBidi" w:hAnsiTheme="majorBidi" w:cstheme="majorBidi"/>
          <w:sz w:val="24"/>
          <w:szCs w:val="24"/>
          <w:u w:val="single"/>
        </w:rPr>
        <w:t>est l’</w:t>
      </w:r>
      <w:r>
        <w:rPr>
          <w:rFonts w:asciiTheme="majorBidi" w:hAnsiTheme="majorBidi" w:cstheme="majorBidi"/>
          <w:sz w:val="24"/>
          <w:szCs w:val="24"/>
          <w:u w:val="single"/>
        </w:rPr>
        <w:t>inoculationdes milieux de cultures sélectifs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directement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à partir des dilutions de l’aliment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à contrôler en exerçant une légère pression sans déplacer la boîte pour ne pas abîmer la gélose. Apres incubation, les colonies sont comptées.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Importance 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ellepouvant être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appliquée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par  les manipulateurs pour le contr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ôle </w:t>
      </w:r>
      <w:r>
        <w:rPr>
          <w:rFonts w:asciiTheme="majorBidi" w:hAnsiTheme="majorBidi" w:cstheme="majorBidi"/>
          <w:sz w:val="24"/>
          <w:szCs w:val="24"/>
          <w:u w:val="single"/>
        </w:rPr>
        <w:t>et la vérification de salubrité des aliments et donc permet une meilleure protection du consommateur.</w:t>
      </w:r>
    </w:p>
    <w:p w:rsidR="00EE7AAB" w:rsidRDefault="00681DD9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Microbiologie prévisionnelle :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la microbiologie prévisionnelle permet de prévoir, par le biais de modèles mathématiques, si, et à quelle vitesse, les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micro-organismes vont se multiplier, survivre, ou mourir dans l’aliment.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Le principe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de base de la microbiologie prévisionnelle est que le comportement de micro-organismes est prévisible à partir de connaissances sur le micro-organisme lui-même, et sur son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environnement immédiat.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Comme importance, </w:t>
      </w:r>
      <w:r>
        <w:rPr>
          <w:rFonts w:asciiTheme="majorBidi" w:hAnsiTheme="majorBidi" w:cstheme="majorBidi"/>
          <w:sz w:val="24"/>
          <w:szCs w:val="24"/>
          <w:u w:val="single"/>
        </w:rPr>
        <w:t>elle est utilisée pour quantifier l’impact de facteurs environnementaux combinés: par le biais de modèles décrivant l’effet combiné de facteurs individuels, et par des facteurs composites de modélisation utilisant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des surfaces de réponse ou approche polynomiale ce qui permet de déterminer la durée et la température de conservation et la date limite de consommation du produit.</w:t>
      </w:r>
    </w:p>
    <w:p w:rsidR="00EE7AAB" w:rsidRDefault="00EE7AAB">
      <w:pPr>
        <w:pStyle w:val="Paragraphedeliste"/>
        <w:spacing w:line="480" w:lineRule="auto"/>
        <w:ind w:left="-76"/>
        <w:rPr>
          <w:rFonts w:asciiTheme="majorBidi" w:hAnsiTheme="majorBidi" w:cstheme="majorBidi"/>
          <w:b/>
          <w:bCs/>
          <w:sz w:val="24"/>
          <w:szCs w:val="24"/>
        </w:rPr>
      </w:pPr>
    </w:p>
    <w:sectPr w:rsidR="00EE7AAB" w:rsidSect="00EE7A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D9" w:rsidRDefault="00681DD9">
      <w:pPr>
        <w:spacing w:line="240" w:lineRule="auto"/>
      </w:pPr>
      <w:r>
        <w:separator/>
      </w:r>
    </w:p>
  </w:endnote>
  <w:endnote w:type="continuationSeparator" w:id="1">
    <w:p w:rsidR="00681DD9" w:rsidRDefault="0068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D9" w:rsidRDefault="00681DD9">
      <w:pPr>
        <w:spacing w:after="0"/>
      </w:pPr>
      <w:r>
        <w:separator/>
      </w:r>
    </w:p>
  </w:footnote>
  <w:footnote w:type="continuationSeparator" w:id="1">
    <w:p w:rsidR="00681DD9" w:rsidRDefault="00681D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855"/>
    <w:multiLevelType w:val="multilevel"/>
    <w:tmpl w:val="02465855"/>
    <w:lvl w:ilvl="0">
      <w:start w:val="1"/>
      <w:numFmt w:val="upperRoman"/>
      <w:lvlText w:val="%1."/>
      <w:lvlJc w:val="left"/>
      <w:pPr>
        <w:ind w:left="1440" w:hanging="720"/>
      </w:pPr>
      <w:rPr>
        <w:rFonts w:asciiTheme="majorBidi" w:hAnsiTheme="majorBidi" w:hint="default"/>
        <w:b w:val="0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50389"/>
    <w:multiLevelType w:val="multilevel"/>
    <w:tmpl w:val="537503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38C2"/>
    <w:multiLevelType w:val="multilevel"/>
    <w:tmpl w:val="61F1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FAE"/>
    <w:multiLevelType w:val="multilevel"/>
    <w:tmpl w:val="63B8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72FDF"/>
    <w:multiLevelType w:val="multilevel"/>
    <w:tmpl w:val="64972FD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__Grammarly_42____i" w:val="H4sIAAAAAAAEAKtWckksSQxILCpxzi/NK1GyMqwFAAEhoTITAAAA"/>
    <w:docVar w:name="__Grammarly_42___1" w:val="H4sIAAAAAAAEAKtWcslP9kxRslIyNDYyMbYwM7YwNzEztDQxsTBS0lEKTi0uzszPAykwrgUA5jDiSCwAAAA="/>
  </w:docVars>
  <w:rsids>
    <w:rsidRoot w:val="00340C2F"/>
    <w:rsid w:val="00021DC3"/>
    <w:rsid w:val="001067D0"/>
    <w:rsid w:val="001A1123"/>
    <w:rsid w:val="002E5EE4"/>
    <w:rsid w:val="00320555"/>
    <w:rsid w:val="00340C2F"/>
    <w:rsid w:val="003811E9"/>
    <w:rsid w:val="003C0646"/>
    <w:rsid w:val="003F32CA"/>
    <w:rsid w:val="003F7B97"/>
    <w:rsid w:val="004B6978"/>
    <w:rsid w:val="004E3F20"/>
    <w:rsid w:val="0055064F"/>
    <w:rsid w:val="00585392"/>
    <w:rsid w:val="005C7FB4"/>
    <w:rsid w:val="005E647B"/>
    <w:rsid w:val="00681DD9"/>
    <w:rsid w:val="007101E7"/>
    <w:rsid w:val="007F48DE"/>
    <w:rsid w:val="008F2819"/>
    <w:rsid w:val="008F79EA"/>
    <w:rsid w:val="00907151"/>
    <w:rsid w:val="00907E9A"/>
    <w:rsid w:val="00963148"/>
    <w:rsid w:val="009676FD"/>
    <w:rsid w:val="00996967"/>
    <w:rsid w:val="009F306B"/>
    <w:rsid w:val="00A86084"/>
    <w:rsid w:val="00AF2188"/>
    <w:rsid w:val="00B32ABC"/>
    <w:rsid w:val="00B64002"/>
    <w:rsid w:val="00D70E48"/>
    <w:rsid w:val="00D949EE"/>
    <w:rsid w:val="00E03C3D"/>
    <w:rsid w:val="00E1440F"/>
    <w:rsid w:val="00E51417"/>
    <w:rsid w:val="00EE3DD4"/>
    <w:rsid w:val="00EE7AAB"/>
    <w:rsid w:val="00F14344"/>
    <w:rsid w:val="00F479ED"/>
    <w:rsid w:val="08BC7EE1"/>
    <w:rsid w:val="0A5924FA"/>
    <w:rsid w:val="0F1A3753"/>
    <w:rsid w:val="1A0A212B"/>
    <w:rsid w:val="3FBA220D"/>
    <w:rsid w:val="47080D12"/>
    <w:rsid w:val="6A3B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7AA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E7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E7AAB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E7AAB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E7AA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E7AAB"/>
  </w:style>
  <w:style w:type="character" w:customStyle="1" w:styleId="PieddepageCar">
    <w:name w:val="Pied de page Car"/>
    <w:basedOn w:val="Policepardfaut"/>
    <w:link w:val="Pieddepage"/>
    <w:uiPriority w:val="99"/>
    <w:rsid w:val="00EE7AA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E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762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SNV</cp:lastModifiedBy>
  <cp:revision>13</cp:revision>
  <cp:lastPrinted>2024-01-15T06:40:00Z</cp:lastPrinted>
  <dcterms:created xsi:type="dcterms:W3CDTF">2018-01-14T16:11:00Z</dcterms:created>
  <dcterms:modified xsi:type="dcterms:W3CDTF">2024-01-19T17:37:00Z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1036-12.2.0.13412</vt:lpwstr>
  </property>
  <property fmtid="{D5CDD505-2E9C-101B-9397-08002B2CF9AE}" pid="3" name="ICV">
    <vt:lpwstr>F406D22189364F8C887FD94E9B7E38DA_13</vt:lpwstr>
  </property>
</Properties>
</file>